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Arial" w:hAnsi="Arial"/>
          <w:b/>
          <w:i w:val="0"/>
          <w:color w:val="8F1D28"/>
          <w:sz w:val="16"/>
        </w:rPr>
        <w:t>CODE RED INFRASTRUCTURE</w:t>
      </w:r>
    </w:p>
    <w:p>
      <w:pPr>
        <w:pStyle w:val="Title"/>
      </w:pPr>
      <w:r>
        <w:rPr>
          <w:rFonts w:ascii="Arial" w:hAnsi="Arial"/>
          <w:b/>
          <w:i w:val="0"/>
          <w:color w:val="202226"/>
          <w:sz w:val="48"/>
        </w:rPr>
        <w:t>Readiness Review Intake</w:t>
      </w:r>
    </w:p>
    <w:p>
      <w:pPr>
        <w:spacing w:after="100"/>
      </w:pPr>
      <w:r>
        <w:rPr>
          <w:rFonts w:ascii="Arial" w:hAnsi="Arial"/>
          <w:b/>
          <w:i w:val="0"/>
          <w:color w:val="5F6670"/>
          <w:sz w:val="20"/>
        </w:rPr>
        <w:t>Working readiness aid</w:t>
      </w:r>
    </w:p>
    <w:p>
      <w:pPr>
        <w:spacing w:after="140"/>
      </w:pPr>
      <w:r>
        <w:t>Use this intake to describe a proposed readiness review at a high level. It helps define the question, scope, timing, and constraints before work is agreed.</w:t>
      </w:r>
    </w:p>
    <w:p>
      <w:pPr>
        <w:spacing w:after="140"/>
      </w:pPr>
      <w:r>
        <w:rPr>
          <w:rFonts w:ascii="Arial" w:hAnsi="Arial"/>
          <w:b/>
          <w:i w:val="0"/>
          <w:color w:val="202226"/>
          <w:sz w:val="18"/>
        </w:rPr>
        <w:t xml:space="preserve">Contact: </w:t>
      </w:r>
      <w:r>
        <w:rPr>
          <w:rFonts w:ascii="Arial" w:hAnsi="Arial"/>
          <w:b w:val="0"/>
          <w:i w:val="0"/>
          <w:color w:val="8F1D28"/>
          <w:sz w:val="18"/>
        </w:rPr>
        <w:t>kazi@coderedinfrastructure.com</w:t>
      </w:r>
    </w:p>
    <w:tbl>
      <w:tblPr>
        <w:tblW w:type="auto" w:w="0"/>
        <w:tblLayout w:type="fixed"/>
        <w:tblLook w:firstColumn="1" w:firstRow="1" w:lastColumn="0" w:lastRow="0" w:noHBand="0" w:noVBand="1" w:val="04A0"/>
      </w:tblPr>
      <w:tblGrid>
        <w:gridCol w:w="10282"/>
      </w:tblGrid>
      <w:tr>
        <w:tc>
          <w:tcPr>
            <w:tcW w:type="dxa" w:w="10253"/>
            <w:shd w:fill="FFF2F3"/>
            <w:tcBorders>
              <w:top w:val="single" w:sz="6" w:space="0" w:color="D7A4A8"/>
              <w:left w:val="single" w:sz="6" w:space="0" w:color="D7A4A8"/>
              <w:bottom w:val="single" w:sz="6" w:space="0" w:color="D7A4A8"/>
              <w:right w:val="single" w:sz="6" w:space="0" w:color="D7A4A8"/>
              <w:insideH w:val="single" w:sz="6" w:space="0" w:color="D7A4A8"/>
              <w:insideV w:val="single" w:sz="6" w:space="0" w:color="D7A4A8"/>
            </w:tcBorders>
            <w:tcMar>
              <w:top w:w="100" w:type="dxa"/>
              <w:start w:w="130" w:type="dxa"/>
              <w:bottom w:w="100" w:type="dxa"/>
              <w:end w:w="130" w:type="dxa"/>
            </w:tcMar>
            <w:vAlign w:val="center"/>
          </w:tcPr>
          <w:p>
            <w:pPr>
              <w:spacing w:after="0"/>
            </w:pPr>
            <w:r>
              <w:rPr>
                <w:rFonts w:ascii="Arial" w:hAnsi="Arial"/>
                <w:b w:val="0"/>
                <w:i w:val="0"/>
                <w:color w:val="202226"/>
                <w:sz w:val="17"/>
              </w:rPr>
              <w:t>Do not include passwords, CUI, sensitive files, or detailed network secrets in this intake or ordinary email. If protected records may be needed, agree on an approved handling and sharing method first.</w:t>
            </w:r>
          </w:p>
        </w:tc>
      </w:tr>
    </w:tbl>
    <w:p>
      <w:pPr>
        <w:spacing w:after="0"/>
      </w:pPr>
    </w:p>
    <w:p>
      <w:pPr>
        <w:pStyle w:val="Heading1"/>
      </w:pPr>
      <w:r>
        <w:t>Business contact</w:t>
      </w:r>
    </w:p>
    <w:tbl>
      <w:tblPr>
        <w:tblW w:type="auto" w:w="0"/>
        <w:tblLayout w:type="fixed"/>
        <w:tblLook w:firstColumn="1" w:firstRow="1" w:lastColumn="0" w:lastRow="0" w:noHBand="0" w:noVBand="1" w:val="04A0"/>
      </w:tblPr>
      <w:tblGrid>
        <w:gridCol w:w="5141"/>
        <w:gridCol w:w="5141"/>
      </w:tblGrid>
      <w:tr>
        <w:trPr>
          <w:trHeight w:val="489" w:hRule="atLeast"/>
          <w:cantSplit/>
        </w:trPr>
        <w:tc>
          <w:tcPr>
            <w:tcW w:type="dxa" w:w="2880"/>
            <w:shd w:fill="F5F6F7"/>
            <w:tcBorders>
              <w:top w:val="single" w:sz="5" w:space="0" w:color="C8CDD2"/>
              <w:left w:val="single" w:sz="5" w:space="0" w:color="C8CDD2"/>
              <w:bottom w:val="single" w:sz="5" w:space="0" w:color="C8CDD2"/>
              <w:right w:val="single" w:sz="5" w:space="0" w:color="C8CDD2"/>
              <w:insideH w:val="single" w:sz="5" w:space="0" w:color="C8CDD2"/>
              <w:insideV w:val="single" w:sz="5" w:space="0" w:color="C8CDD2"/>
            </w:tcBorders>
            <w:tcMar>
              <w:top w:w="80" w:type="dxa"/>
              <w:start w:w="90" w:type="dxa"/>
              <w:bottom w:w="80" w:type="dxa"/>
              <w:end w:w="90" w:type="dxa"/>
            </w:tcMar>
            <w:vAlign w:val="center"/>
          </w:tcPr>
          <w:p>
            <w:pPr>
              <w:spacing w:after="0"/>
            </w:pPr>
            <w:r>
              <w:rPr>
                <w:rFonts w:ascii="Arial" w:hAnsi="Arial"/>
                <w:b/>
                <w:i w:val="0"/>
                <w:color w:val="202226"/>
                <w:sz w:val="17"/>
              </w:rPr>
              <w:t>Organization</w:t>
            </w:r>
          </w:p>
        </w:tc>
        <w:tc>
          <w:tcPr>
            <w:tcW w:type="dxa" w:w="7373"/>
            <w:tcBorders>
              <w:top w:val="single" w:sz="5" w:space="0" w:color="C8CDD2"/>
              <w:left w:val="single" w:sz="5" w:space="0" w:color="C8CDD2"/>
              <w:bottom w:val="single" w:sz="5" w:space="0" w:color="C8CDD2"/>
              <w:right w:val="single" w:sz="5" w:space="0" w:color="C8CDD2"/>
              <w:insideH w:val="single" w:sz="5" w:space="0" w:color="C8CDD2"/>
              <w:insideV w:val="single" w:sz="5" w:space="0" w:color="C8CDD2"/>
            </w:tcBorders>
            <w:tcMar>
              <w:top w:w="80" w:type="dxa"/>
              <w:start w:w="90" w:type="dxa"/>
              <w:bottom w:w="80" w:type="dxa"/>
              <w:end w:w="90" w:type="dxa"/>
            </w:tcMar>
            <w:vAlign w:val="center"/>
          </w:tcPr>
          <w:p>
            <w:pPr>
              <w:spacing w:after="0"/>
            </w:pPr>
            <w:r>
              <w:t xml:space="preserve"> </w:t>
            </w:r>
          </w:p>
        </w:tc>
      </w:tr>
      <w:tr>
        <w:trPr>
          <w:trHeight w:val="489" w:hRule="atLeast"/>
          <w:cantSplit/>
        </w:trPr>
        <w:tc>
          <w:tcPr>
            <w:tcW w:type="dxa" w:w="2880"/>
            <w:shd w:fill="F5F6F7"/>
            <w:tcBorders>
              <w:top w:val="single" w:sz="5" w:space="0" w:color="C8CDD2"/>
              <w:left w:val="single" w:sz="5" w:space="0" w:color="C8CDD2"/>
              <w:bottom w:val="single" w:sz="5" w:space="0" w:color="C8CDD2"/>
              <w:right w:val="single" w:sz="5" w:space="0" w:color="C8CDD2"/>
              <w:insideH w:val="single" w:sz="5" w:space="0" w:color="C8CDD2"/>
              <w:insideV w:val="single" w:sz="5" w:space="0" w:color="C8CDD2"/>
            </w:tcBorders>
            <w:tcMar>
              <w:top w:w="80" w:type="dxa"/>
              <w:start w:w="90" w:type="dxa"/>
              <w:bottom w:w="80" w:type="dxa"/>
              <w:end w:w="90" w:type="dxa"/>
            </w:tcMar>
            <w:vAlign w:val="center"/>
          </w:tcPr>
          <w:p>
            <w:pPr>
              <w:spacing w:after="0"/>
            </w:pPr>
            <w:r>
              <w:rPr>
                <w:rFonts w:ascii="Arial" w:hAnsi="Arial"/>
                <w:b/>
                <w:i w:val="0"/>
                <w:color w:val="202226"/>
                <w:sz w:val="17"/>
              </w:rPr>
              <w:t>Primary contact</w:t>
            </w:r>
          </w:p>
        </w:tc>
        <w:tc>
          <w:tcPr>
            <w:tcW w:type="dxa" w:w="7373"/>
            <w:tcBorders>
              <w:top w:val="single" w:sz="5" w:space="0" w:color="C8CDD2"/>
              <w:left w:val="single" w:sz="5" w:space="0" w:color="C8CDD2"/>
              <w:bottom w:val="single" w:sz="5" w:space="0" w:color="C8CDD2"/>
              <w:right w:val="single" w:sz="5" w:space="0" w:color="C8CDD2"/>
              <w:insideH w:val="single" w:sz="5" w:space="0" w:color="C8CDD2"/>
              <w:insideV w:val="single" w:sz="5" w:space="0" w:color="C8CDD2"/>
            </w:tcBorders>
            <w:tcMar>
              <w:top w:w="80" w:type="dxa"/>
              <w:start w:w="90" w:type="dxa"/>
              <w:bottom w:w="80" w:type="dxa"/>
              <w:end w:w="90" w:type="dxa"/>
            </w:tcMar>
            <w:vAlign w:val="center"/>
          </w:tcPr>
          <w:p>
            <w:pPr>
              <w:spacing w:after="0"/>
            </w:pPr>
            <w:r>
              <w:t xml:space="preserve"> </w:t>
            </w:r>
          </w:p>
        </w:tc>
      </w:tr>
      <w:tr>
        <w:trPr>
          <w:trHeight w:val="489" w:hRule="atLeast"/>
          <w:cantSplit/>
        </w:trPr>
        <w:tc>
          <w:tcPr>
            <w:tcW w:type="dxa" w:w="2880"/>
            <w:shd w:fill="F5F6F7"/>
            <w:tcBorders>
              <w:top w:val="single" w:sz="5" w:space="0" w:color="C8CDD2"/>
              <w:left w:val="single" w:sz="5" w:space="0" w:color="C8CDD2"/>
              <w:bottom w:val="single" w:sz="5" w:space="0" w:color="C8CDD2"/>
              <w:right w:val="single" w:sz="5" w:space="0" w:color="C8CDD2"/>
              <w:insideH w:val="single" w:sz="5" w:space="0" w:color="C8CDD2"/>
              <w:insideV w:val="single" w:sz="5" w:space="0" w:color="C8CDD2"/>
            </w:tcBorders>
            <w:tcMar>
              <w:top w:w="80" w:type="dxa"/>
              <w:start w:w="90" w:type="dxa"/>
              <w:bottom w:w="80" w:type="dxa"/>
              <w:end w:w="90" w:type="dxa"/>
            </w:tcMar>
            <w:vAlign w:val="center"/>
          </w:tcPr>
          <w:p>
            <w:pPr>
              <w:spacing w:after="0"/>
            </w:pPr>
            <w:r>
              <w:rPr>
                <w:rFonts w:ascii="Arial" w:hAnsi="Arial"/>
                <w:b/>
                <w:i w:val="0"/>
                <w:color w:val="202226"/>
                <w:sz w:val="17"/>
              </w:rPr>
              <w:t>Role</w:t>
            </w:r>
          </w:p>
        </w:tc>
        <w:tc>
          <w:tcPr>
            <w:tcW w:type="dxa" w:w="7373"/>
            <w:tcBorders>
              <w:top w:val="single" w:sz="5" w:space="0" w:color="C8CDD2"/>
              <w:left w:val="single" w:sz="5" w:space="0" w:color="C8CDD2"/>
              <w:bottom w:val="single" w:sz="5" w:space="0" w:color="C8CDD2"/>
              <w:right w:val="single" w:sz="5" w:space="0" w:color="C8CDD2"/>
              <w:insideH w:val="single" w:sz="5" w:space="0" w:color="C8CDD2"/>
              <w:insideV w:val="single" w:sz="5" w:space="0" w:color="C8CDD2"/>
            </w:tcBorders>
            <w:tcMar>
              <w:top w:w="80" w:type="dxa"/>
              <w:start w:w="90" w:type="dxa"/>
              <w:bottom w:w="80" w:type="dxa"/>
              <w:end w:w="90" w:type="dxa"/>
            </w:tcMar>
            <w:vAlign w:val="center"/>
          </w:tcPr>
          <w:p>
            <w:pPr>
              <w:spacing w:after="0"/>
            </w:pPr>
            <w:r>
              <w:t xml:space="preserve"> </w:t>
            </w:r>
          </w:p>
        </w:tc>
      </w:tr>
      <w:tr>
        <w:trPr>
          <w:trHeight w:val="489" w:hRule="atLeast"/>
          <w:cantSplit/>
        </w:trPr>
        <w:tc>
          <w:tcPr>
            <w:tcW w:type="dxa" w:w="2880"/>
            <w:shd w:fill="F5F6F7"/>
            <w:tcBorders>
              <w:top w:val="single" w:sz="5" w:space="0" w:color="C8CDD2"/>
              <w:left w:val="single" w:sz="5" w:space="0" w:color="C8CDD2"/>
              <w:bottom w:val="single" w:sz="5" w:space="0" w:color="C8CDD2"/>
              <w:right w:val="single" w:sz="5" w:space="0" w:color="C8CDD2"/>
              <w:insideH w:val="single" w:sz="5" w:space="0" w:color="C8CDD2"/>
              <w:insideV w:val="single" w:sz="5" w:space="0" w:color="C8CDD2"/>
            </w:tcBorders>
            <w:tcMar>
              <w:top w:w="80" w:type="dxa"/>
              <w:start w:w="90" w:type="dxa"/>
              <w:bottom w:w="80" w:type="dxa"/>
              <w:end w:w="90" w:type="dxa"/>
            </w:tcMar>
            <w:vAlign w:val="center"/>
          </w:tcPr>
          <w:p>
            <w:pPr>
              <w:spacing w:after="0"/>
            </w:pPr>
            <w:r>
              <w:rPr>
                <w:rFonts w:ascii="Arial" w:hAnsi="Arial"/>
                <w:b/>
                <w:i w:val="0"/>
                <w:color w:val="202226"/>
                <w:sz w:val="17"/>
              </w:rPr>
              <w:t>Email</w:t>
            </w:r>
          </w:p>
        </w:tc>
        <w:tc>
          <w:tcPr>
            <w:tcW w:type="dxa" w:w="7373"/>
            <w:tcBorders>
              <w:top w:val="single" w:sz="5" w:space="0" w:color="C8CDD2"/>
              <w:left w:val="single" w:sz="5" w:space="0" w:color="C8CDD2"/>
              <w:bottom w:val="single" w:sz="5" w:space="0" w:color="C8CDD2"/>
              <w:right w:val="single" w:sz="5" w:space="0" w:color="C8CDD2"/>
              <w:insideH w:val="single" w:sz="5" w:space="0" w:color="C8CDD2"/>
              <w:insideV w:val="single" w:sz="5" w:space="0" w:color="C8CDD2"/>
            </w:tcBorders>
            <w:tcMar>
              <w:top w:w="80" w:type="dxa"/>
              <w:start w:w="90" w:type="dxa"/>
              <w:bottom w:w="80" w:type="dxa"/>
              <w:end w:w="90" w:type="dxa"/>
            </w:tcMar>
            <w:vAlign w:val="center"/>
          </w:tcPr>
          <w:p>
            <w:pPr>
              <w:spacing w:after="0"/>
            </w:pPr>
            <w:r>
              <w:t xml:space="preserve"> </w:t>
            </w:r>
          </w:p>
        </w:tc>
      </w:tr>
    </w:tbl>
    <w:p>
      <w:pPr>
        <w:pStyle w:val="Heading1"/>
      </w:pPr>
      <w:r>
        <w:t>Review request</w:t>
      </w:r>
    </w:p>
    <w:tbl>
      <w:tblPr>
        <w:tblW w:type="auto" w:w="0"/>
        <w:tblLayout w:type="fixed"/>
        <w:tblLook w:firstColumn="1" w:firstRow="1" w:lastColumn="0" w:lastRow="0" w:noHBand="0" w:noVBand="1" w:val="04A0"/>
      </w:tblPr>
      <w:tblGrid>
        <w:gridCol w:w="5141"/>
        <w:gridCol w:w="5141"/>
      </w:tblGrid>
      <w:tr>
        <w:trPr>
          <w:trHeight w:val="691" w:hRule="atLeast"/>
          <w:cantSplit/>
        </w:trPr>
        <w:tc>
          <w:tcPr>
            <w:tcW w:type="dxa" w:w="2880"/>
            <w:shd w:fill="F5F6F7"/>
            <w:tcBorders>
              <w:top w:val="single" w:sz="5" w:space="0" w:color="C8CDD2"/>
              <w:left w:val="single" w:sz="5" w:space="0" w:color="C8CDD2"/>
              <w:bottom w:val="single" w:sz="5" w:space="0" w:color="C8CDD2"/>
              <w:right w:val="single" w:sz="5" w:space="0" w:color="C8CDD2"/>
              <w:insideH w:val="single" w:sz="5" w:space="0" w:color="C8CDD2"/>
              <w:insideV w:val="single" w:sz="5" w:space="0" w:color="C8CDD2"/>
            </w:tcBorders>
            <w:tcMar>
              <w:top w:w="80" w:type="dxa"/>
              <w:start w:w="90" w:type="dxa"/>
              <w:bottom w:w="80" w:type="dxa"/>
              <w:end w:w="90" w:type="dxa"/>
            </w:tcMar>
            <w:vAlign w:val="center"/>
          </w:tcPr>
          <w:p>
            <w:pPr>
              <w:spacing w:after="0"/>
            </w:pPr>
            <w:r>
              <w:rPr>
                <w:rFonts w:ascii="Arial" w:hAnsi="Arial"/>
                <w:b/>
                <w:i w:val="0"/>
                <w:color w:val="202226"/>
                <w:sz w:val="17"/>
              </w:rPr>
              <w:t>Review goal</w:t>
            </w:r>
          </w:p>
        </w:tc>
        <w:tc>
          <w:tcPr>
            <w:tcW w:type="dxa" w:w="7373"/>
            <w:tcBorders>
              <w:top w:val="single" w:sz="5" w:space="0" w:color="C8CDD2"/>
              <w:left w:val="single" w:sz="5" w:space="0" w:color="C8CDD2"/>
              <w:bottom w:val="single" w:sz="5" w:space="0" w:color="C8CDD2"/>
              <w:right w:val="single" w:sz="5" w:space="0" w:color="C8CDD2"/>
              <w:insideH w:val="single" w:sz="5" w:space="0" w:color="C8CDD2"/>
              <w:insideV w:val="single" w:sz="5" w:space="0" w:color="C8CDD2"/>
            </w:tcBorders>
            <w:tcMar>
              <w:top w:w="80" w:type="dxa"/>
              <w:start w:w="90" w:type="dxa"/>
              <w:bottom w:w="80" w:type="dxa"/>
              <w:end w:w="90" w:type="dxa"/>
            </w:tcMar>
            <w:vAlign w:val="center"/>
          </w:tcPr>
          <w:p>
            <w:pPr>
              <w:spacing w:after="0"/>
            </w:pPr>
            <w:r>
              <w:t xml:space="preserve"> </w:t>
            </w:r>
          </w:p>
        </w:tc>
      </w:tr>
      <w:tr>
        <w:trPr>
          <w:trHeight w:val="835" w:hRule="atLeast"/>
          <w:cantSplit/>
        </w:trPr>
        <w:tc>
          <w:tcPr>
            <w:tcW w:type="dxa" w:w="2880"/>
            <w:shd w:fill="F5F6F7"/>
            <w:tcBorders>
              <w:top w:val="single" w:sz="5" w:space="0" w:color="C8CDD2"/>
              <w:left w:val="single" w:sz="5" w:space="0" w:color="C8CDD2"/>
              <w:bottom w:val="single" w:sz="5" w:space="0" w:color="C8CDD2"/>
              <w:right w:val="single" w:sz="5" w:space="0" w:color="C8CDD2"/>
              <w:insideH w:val="single" w:sz="5" w:space="0" w:color="C8CDD2"/>
              <w:insideV w:val="single" w:sz="5" w:space="0" w:color="C8CDD2"/>
            </w:tcBorders>
            <w:tcMar>
              <w:top w:w="80" w:type="dxa"/>
              <w:start w:w="90" w:type="dxa"/>
              <w:bottom w:w="80" w:type="dxa"/>
              <w:end w:w="90" w:type="dxa"/>
            </w:tcMar>
            <w:vAlign w:val="center"/>
          </w:tcPr>
          <w:p>
            <w:pPr>
              <w:spacing w:after="0"/>
            </w:pPr>
            <w:r>
              <w:rPr>
                <w:rFonts w:ascii="Arial" w:hAnsi="Arial"/>
                <w:b/>
                <w:i w:val="0"/>
                <w:color w:val="202226"/>
                <w:sz w:val="17"/>
              </w:rPr>
              <w:t>Requirement or customer request, if known</w:t>
            </w:r>
          </w:p>
        </w:tc>
        <w:tc>
          <w:tcPr>
            <w:tcW w:type="dxa" w:w="7373"/>
            <w:tcBorders>
              <w:top w:val="single" w:sz="5" w:space="0" w:color="C8CDD2"/>
              <w:left w:val="single" w:sz="5" w:space="0" w:color="C8CDD2"/>
              <w:bottom w:val="single" w:sz="5" w:space="0" w:color="C8CDD2"/>
              <w:right w:val="single" w:sz="5" w:space="0" w:color="C8CDD2"/>
              <w:insideH w:val="single" w:sz="5" w:space="0" w:color="C8CDD2"/>
              <w:insideV w:val="single" w:sz="5" w:space="0" w:color="C8CDD2"/>
            </w:tcBorders>
            <w:tcMar>
              <w:top w:w="80" w:type="dxa"/>
              <w:start w:w="90" w:type="dxa"/>
              <w:bottom w:w="80" w:type="dxa"/>
              <w:end w:w="90" w:type="dxa"/>
            </w:tcMar>
            <w:vAlign w:val="center"/>
          </w:tcPr>
          <w:p>
            <w:pPr>
              <w:spacing w:after="0"/>
            </w:pPr>
            <w:r>
              <w:t xml:space="preserve"> </w:t>
            </w:r>
          </w:p>
        </w:tc>
      </w:tr>
      <w:tr>
        <w:trPr>
          <w:trHeight w:val="489" w:hRule="atLeast"/>
          <w:cantSplit/>
        </w:trPr>
        <w:tc>
          <w:tcPr>
            <w:tcW w:type="dxa" w:w="2880"/>
            <w:shd w:fill="F5F6F7"/>
            <w:tcBorders>
              <w:top w:val="single" w:sz="5" w:space="0" w:color="C8CDD2"/>
              <w:left w:val="single" w:sz="5" w:space="0" w:color="C8CDD2"/>
              <w:bottom w:val="single" w:sz="5" w:space="0" w:color="C8CDD2"/>
              <w:right w:val="single" w:sz="5" w:space="0" w:color="C8CDD2"/>
              <w:insideH w:val="single" w:sz="5" w:space="0" w:color="C8CDD2"/>
              <w:insideV w:val="single" w:sz="5" w:space="0" w:color="C8CDD2"/>
            </w:tcBorders>
            <w:tcMar>
              <w:top w:w="80" w:type="dxa"/>
              <w:start w:w="90" w:type="dxa"/>
              <w:bottom w:w="80" w:type="dxa"/>
              <w:end w:w="90" w:type="dxa"/>
            </w:tcMar>
            <w:vAlign w:val="center"/>
          </w:tcPr>
          <w:p>
            <w:pPr>
              <w:spacing w:after="0"/>
            </w:pPr>
            <w:r>
              <w:rPr>
                <w:rFonts w:ascii="Arial" w:hAnsi="Arial"/>
                <w:b/>
                <w:i w:val="0"/>
                <w:color w:val="202226"/>
                <w:sz w:val="17"/>
              </w:rPr>
              <w:t>Desired date</w:t>
            </w:r>
          </w:p>
        </w:tc>
        <w:tc>
          <w:tcPr>
            <w:tcW w:type="dxa" w:w="7373"/>
            <w:tcBorders>
              <w:top w:val="single" w:sz="5" w:space="0" w:color="C8CDD2"/>
              <w:left w:val="single" w:sz="5" w:space="0" w:color="C8CDD2"/>
              <w:bottom w:val="single" w:sz="5" w:space="0" w:color="C8CDD2"/>
              <w:right w:val="single" w:sz="5" w:space="0" w:color="C8CDD2"/>
              <w:insideH w:val="single" w:sz="5" w:space="0" w:color="C8CDD2"/>
              <w:insideV w:val="single" w:sz="5" w:space="0" w:color="C8CDD2"/>
            </w:tcBorders>
            <w:tcMar>
              <w:top w:w="80" w:type="dxa"/>
              <w:start w:w="90" w:type="dxa"/>
              <w:bottom w:w="80" w:type="dxa"/>
              <w:end w:w="90" w:type="dxa"/>
            </w:tcMar>
            <w:vAlign w:val="center"/>
          </w:tcPr>
          <w:p>
            <w:pPr>
              <w:spacing w:after="0"/>
            </w:pPr>
            <w:r>
              <w:t xml:space="preserve"> </w:t>
            </w:r>
          </w:p>
        </w:tc>
      </w:tr>
    </w:tbl>
    <w:p>
      <w:pPr>
        <w:pStyle w:val="Heading1"/>
      </w:pPr>
      <w:r>
        <w:t>Scope and constraints</w:t>
      </w:r>
    </w:p>
    <w:tbl>
      <w:tblPr>
        <w:tblW w:type="auto" w:w="0"/>
        <w:tblLayout w:type="fixed"/>
        <w:tblLook w:firstColumn="1" w:firstRow="1" w:lastColumn="0" w:lastRow="0" w:noHBand="0" w:noVBand="1" w:val="04A0"/>
      </w:tblPr>
      <w:tblGrid>
        <w:gridCol w:w="5141"/>
        <w:gridCol w:w="5141"/>
      </w:tblGrid>
      <w:tr>
        <w:trPr>
          <w:trHeight w:val="835" w:hRule="atLeast"/>
          <w:cantSplit/>
        </w:trPr>
        <w:tc>
          <w:tcPr>
            <w:tcW w:type="dxa" w:w="2880"/>
            <w:shd w:fill="F5F6F7"/>
            <w:tcBorders>
              <w:top w:val="single" w:sz="5" w:space="0" w:color="C8CDD2"/>
              <w:left w:val="single" w:sz="5" w:space="0" w:color="C8CDD2"/>
              <w:bottom w:val="single" w:sz="5" w:space="0" w:color="C8CDD2"/>
              <w:right w:val="single" w:sz="5" w:space="0" w:color="C8CDD2"/>
              <w:insideH w:val="single" w:sz="5" w:space="0" w:color="C8CDD2"/>
              <w:insideV w:val="single" w:sz="5" w:space="0" w:color="C8CDD2"/>
            </w:tcBorders>
            <w:tcMar>
              <w:top w:w="80" w:type="dxa"/>
              <w:start w:w="90" w:type="dxa"/>
              <w:bottom w:w="80" w:type="dxa"/>
              <w:end w:w="90" w:type="dxa"/>
            </w:tcMar>
            <w:vAlign w:val="center"/>
          </w:tcPr>
          <w:p>
            <w:pPr>
              <w:spacing w:after="0"/>
            </w:pPr>
            <w:r>
              <w:rPr>
                <w:rFonts w:ascii="Arial" w:hAnsi="Arial"/>
                <w:b/>
                <w:i w:val="0"/>
                <w:color w:val="202226"/>
                <w:sz w:val="17"/>
              </w:rPr>
              <w:t>In-scope systems at a high level</w:t>
            </w:r>
          </w:p>
        </w:tc>
        <w:tc>
          <w:tcPr>
            <w:tcW w:type="dxa" w:w="7373"/>
            <w:tcBorders>
              <w:top w:val="single" w:sz="5" w:space="0" w:color="C8CDD2"/>
              <w:left w:val="single" w:sz="5" w:space="0" w:color="C8CDD2"/>
              <w:bottom w:val="single" w:sz="5" w:space="0" w:color="C8CDD2"/>
              <w:right w:val="single" w:sz="5" w:space="0" w:color="C8CDD2"/>
              <w:insideH w:val="single" w:sz="5" w:space="0" w:color="C8CDD2"/>
              <w:insideV w:val="single" w:sz="5" w:space="0" w:color="C8CDD2"/>
            </w:tcBorders>
            <w:tcMar>
              <w:top w:w="80" w:type="dxa"/>
              <w:start w:w="90" w:type="dxa"/>
              <w:bottom w:w="80" w:type="dxa"/>
              <w:end w:w="90" w:type="dxa"/>
            </w:tcMar>
            <w:vAlign w:val="center"/>
          </w:tcPr>
          <w:p>
            <w:pPr>
              <w:spacing w:after="0"/>
            </w:pPr>
            <w:r>
              <w:t xml:space="preserve"> </w:t>
            </w:r>
          </w:p>
        </w:tc>
      </w:tr>
      <w:tr>
        <w:trPr>
          <w:trHeight w:val="691" w:hRule="atLeast"/>
          <w:cantSplit/>
        </w:trPr>
        <w:tc>
          <w:tcPr>
            <w:tcW w:type="dxa" w:w="2880"/>
            <w:shd w:fill="F5F6F7"/>
            <w:tcBorders>
              <w:top w:val="single" w:sz="5" w:space="0" w:color="C8CDD2"/>
              <w:left w:val="single" w:sz="5" w:space="0" w:color="C8CDD2"/>
              <w:bottom w:val="single" w:sz="5" w:space="0" w:color="C8CDD2"/>
              <w:right w:val="single" w:sz="5" w:space="0" w:color="C8CDD2"/>
              <w:insideH w:val="single" w:sz="5" w:space="0" w:color="C8CDD2"/>
              <w:insideV w:val="single" w:sz="5" w:space="0" w:color="C8CDD2"/>
            </w:tcBorders>
            <w:tcMar>
              <w:top w:w="80" w:type="dxa"/>
              <w:start w:w="90" w:type="dxa"/>
              <w:bottom w:w="80" w:type="dxa"/>
              <w:end w:w="90" w:type="dxa"/>
            </w:tcMar>
            <w:vAlign w:val="center"/>
          </w:tcPr>
          <w:p>
            <w:pPr>
              <w:spacing w:after="0"/>
            </w:pPr>
            <w:r>
              <w:rPr>
                <w:rFonts w:ascii="Arial" w:hAnsi="Arial"/>
                <w:b/>
                <w:i w:val="0"/>
                <w:color w:val="202226"/>
                <w:sz w:val="17"/>
              </w:rPr>
              <w:t>Known exclusions or boundaries</w:t>
            </w:r>
          </w:p>
        </w:tc>
        <w:tc>
          <w:tcPr>
            <w:tcW w:type="dxa" w:w="7373"/>
            <w:tcBorders>
              <w:top w:val="single" w:sz="5" w:space="0" w:color="C8CDD2"/>
              <w:left w:val="single" w:sz="5" w:space="0" w:color="C8CDD2"/>
              <w:bottom w:val="single" w:sz="5" w:space="0" w:color="C8CDD2"/>
              <w:right w:val="single" w:sz="5" w:space="0" w:color="C8CDD2"/>
              <w:insideH w:val="single" w:sz="5" w:space="0" w:color="C8CDD2"/>
              <w:insideV w:val="single" w:sz="5" w:space="0" w:color="C8CDD2"/>
            </w:tcBorders>
            <w:tcMar>
              <w:top w:w="80" w:type="dxa"/>
              <w:start w:w="90" w:type="dxa"/>
              <w:bottom w:w="80" w:type="dxa"/>
              <w:end w:w="90" w:type="dxa"/>
            </w:tcMar>
            <w:vAlign w:val="center"/>
          </w:tcPr>
          <w:p>
            <w:pPr>
              <w:spacing w:after="0"/>
            </w:pPr>
            <w:r>
              <w:t xml:space="preserve"> </w:t>
            </w:r>
          </w:p>
        </w:tc>
      </w:tr>
      <w:tr>
        <w:trPr>
          <w:trHeight w:val="835" w:hRule="atLeast"/>
          <w:cantSplit/>
        </w:trPr>
        <w:tc>
          <w:tcPr>
            <w:tcW w:type="dxa" w:w="2880"/>
            <w:shd w:fill="F5F6F7"/>
            <w:tcBorders>
              <w:top w:val="single" w:sz="5" w:space="0" w:color="C8CDD2"/>
              <w:left w:val="single" w:sz="5" w:space="0" w:color="C8CDD2"/>
              <w:bottom w:val="single" w:sz="5" w:space="0" w:color="C8CDD2"/>
              <w:right w:val="single" w:sz="5" w:space="0" w:color="C8CDD2"/>
              <w:insideH w:val="single" w:sz="5" w:space="0" w:color="C8CDD2"/>
              <w:insideV w:val="single" w:sz="5" w:space="0" w:color="C8CDD2"/>
            </w:tcBorders>
            <w:tcMar>
              <w:top w:w="80" w:type="dxa"/>
              <w:start w:w="90" w:type="dxa"/>
              <w:bottom w:w="80" w:type="dxa"/>
              <w:end w:w="90" w:type="dxa"/>
            </w:tcMar>
            <w:vAlign w:val="center"/>
          </w:tcPr>
          <w:p>
            <w:pPr>
              <w:spacing w:after="0"/>
            </w:pPr>
            <w:r>
              <w:rPr>
                <w:rFonts w:ascii="Arial" w:hAnsi="Arial"/>
                <w:b/>
                <w:i w:val="0"/>
                <w:color w:val="202226"/>
                <w:sz w:val="17"/>
              </w:rPr>
              <w:t>Constraints or other context</w:t>
            </w:r>
          </w:p>
        </w:tc>
        <w:tc>
          <w:tcPr>
            <w:tcW w:type="dxa" w:w="7373"/>
            <w:tcBorders>
              <w:top w:val="single" w:sz="5" w:space="0" w:color="C8CDD2"/>
              <w:left w:val="single" w:sz="5" w:space="0" w:color="C8CDD2"/>
              <w:bottom w:val="single" w:sz="5" w:space="0" w:color="C8CDD2"/>
              <w:right w:val="single" w:sz="5" w:space="0" w:color="C8CDD2"/>
              <w:insideH w:val="single" w:sz="5" w:space="0" w:color="C8CDD2"/>
              <w:insideV w:val="single" w:sz="5" w:space="0" w:color="C8CDD2"/>
            </w:tcBorders>
            <w:tcMar>
              <w:top w:w="80" w:type="dxa"/>
              <w:start w:w="90" w:type="dxa"/>
              <w:bottom w:w="80" w:type="dxa"/>
              <w:end w:w="90" w:type="dxa"/>
            </w:tcMar>
            <w:vAlign w:val="center"/>
          </w:tcPr>
          <w:p>
            <w:pPr>
              <w:spacing w:after="0"/>
            </w:pPr>
            <w:r>
              <w:t xml:space="preserve"> </w:t>
            </w:r>
          </w:p>
        </w:tc>
      </w:tr>
    </w:tbl>
    <w:p>
      <w:pPr>
        <w:spacing w:before="140"/>
      </w:pPr>
      <w:r>
        <w:rPr>
          <w:rFonts w:ascii="Arial" w:hAnsi="Arial"/>
          <w:b w:val="0"/>
          <w:i w:val="0"/>
          <w:color w:val="5F6670"/>
          <w:sz w:val="17"/>
        </w:rPr>
        <w:t>This intake is a working readiness aid, not a compliance determination. Use the organization's approved process for any protected information.</w:t>
      </w:r>
    </w:p>
    <w:sectPr w:rsidR="00FC693F" w:rsidRPr="0006063C" w:rsidSect="00034616">
      <w:pgSz w:w="12240" w:h="15840"/>
      <w:pgMar w:top="893" w:right="979" w:bottom="893"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color w:val="202226"/>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Arial" w:hAnsi="Arial"/>
      <w:b/>
      <w:bCs/>
      <w:color w:val="8F1D28"/>
      <w:sz w:val="28"/>
      <w:szCs w:val="28"/>
    </w:rPr>
  </w:style>
  <w:style w:type="paragraph" w:styleId="Heading2">
    <w:name w:val="heading 2"/>
    <w:basedOn w:val="Normal"/>
    <w:next w:val="Normal"/>
    <w:link w:val="Heading2Char"/>
    <w:uiPriority w:val="9"/>
    <w:unhideWhenUsed/>
    <w:qFormat/>
    <w:rsid w:val="00FC693F"/>
    <w:pPr>
      <w:keepNext/>
      <w:keepLines/>
      <w:spacing w:before="120" w:after="80"/>
      <w:outlineLvl w:val="1"/>
    </w:pPr>
    <w:rPr>
      <w:rFonts w:asciiTheme="majorHAnsi" w:eastAsiaTheme="majorEastAsia" w:hAnsiTheme="majorHAnsi" w:cstheme="majorBidi" w:ascii="Arial" w:hAnsi="Arial"/>
      <w:b/>
      <w:bCs/>
      <w:color w:val="8F1D28"/>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60" w:line="240" w:lineRule="auto" w:before="0"/>
      <w:contextualSpacing/>
    </w:pPr>
    <w:rPr>
      <w:rFonts w:asciiTheme="majorHAnsi" w:eastAsiaTheme="majorEastAsia" w:hAnsiTheme="majorHAnsi" w:cstheme="majorBidi" w:ascii="Arial" w:hAnsi="Arial"/>
      <w:b/>
      <w:color w:val="202226"/>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Readiness Review Intake</dc:title>
  <dc:subject>Cybersecurity compliance readiness working template</dc:subject>
  <dc:creator>Code Red Infrastructure</dc:creator>
  <cp:keywords/>
  <dc:description>generated by python-docx</dc:description>
  <cp:lastModifiedBy/>
  <cp:revision>1</cp:revision>
  <dcterms:created xsi:type="dcterms:W3CDTF">2013-12-23T23:15:00Z</dcterms:created>
  <dcterms:modified xsi:type="dcterms:W3CDTF">2013-12-23T23:15:00Z</dcterms:modified>
  <cp:category/>
</cp:coreProperties>
</file>