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i w:val="0"/>
          <w:color w:val="8F1D28"/>
          <w:sz w:val="16"/>
        </w:rPr>
        <w:t>CODE RED INFRASTRUCTURE</w:t>
      </w:r>
    </w:p>
    <w:p>
      <w:pPr>
        <w:pStyle w:val="Title"/>
      </w:pPr>
      <w:r>
        <w:rPr>
          <w:rFonts w:ascii="Arial" w:hAnsi="Arial"/>
          <w:b/>
          <w:i w:val="0"/>
          <w:color w:val="202226"/>
          <w:sz w:val="48"/>
        </w:rPr>
        <w:t>Evidence Preparation Checklist</w:t>
      </w:r>
    </w:p>
    <w:p>
      <w:pPr>
        <w:spacing w:after="100"/>
      </w:pPr>
      <w:r>
        <w:rPr>
          <w:rFonts w:ascii="Arial" w:hAnsi="Arial"/>
          <w:b/>
          <w:i w:val="0"/>
          <w:color w:val="5F6670"/>
          <w:sz w:val="20"/>
        </w:rPr>
        <w:t>Working readiness aid</w:t>
      </w:r>
    </w:p>
    <w:p>
      <w:pPr>
        <w:spacing w:after="140"/>
      </w:pPr>
      <w:r>
        <w:t>Use this checklist to locate and track records that may be relevant to an agreed cybersecurity review. It is a preparation aid, not a compliance determination.</w:t>
      </w:r>
    </w:p>
    <w:p>
      <w:pPr>
        <w:spacing w:after="140"/>
      </w:pPr>
      <w:r>
        <w:rPr>
          <w:rFonts w:ascii="Arial" w:hAnsi="Arial"/>
          <w:b/>
          <w:i w:val="0"/>
          <w:color w:val="202226"/>
          <w:sz w:val="18"/>
        </w:rPr>
        <w:t xml:space="preserve">Contact: </w:t>
      </w:r>
      <w:r>
        <w:rPr>
          <w:rFonts w:ascii="Arial" w:hAnsi="Arial"/>
          <w:b w:val="0"/>
          <w:i w:val="0"/>
          <w:color w:val="8F1D28"/>
          <w:sz w:val="18"/>
        </w:rPr>
        <w:t>kazi@coderedinfrastructure.com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53"/>
            <w:shd w:fill="FFF2F3"/>
            <w:tcBorders>
              <w:top w:val="single" w:sz="6" w:space="0" w:color="D7A4A8"/>
              <w:left w:val="single" w:sz="6" w:space="0" w:color="D7A4A8"/>
              <w:bottom w:val="single" w:sz="6" w:space="0" w:color="D7A4A8"/>
              <w:right w:val="single" w:sz="6" w:space="0" w:color="D7A4A8"/>
              <w:insideH w:val="single" w:sz="6" w:space="0" w:color="D7A4A8"/>
              <w:insideV w:val="single" w:sz="6" w:space="0" w:color="D7A4A8"/>
            </w:tcBorders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226"/>
                <w:sz w:val="17"/>
              </w:rPr>
              <w:t>List record names and approved locations or owners; do not attach or email evidence. Do not include passwords, CUI, sensitive files, or detailed network secrets. Follow your organization's approved handling process.</w:t>
            </w:r>
          </w:p>
        </w:tc>
      </w:tr>
    </w:tbl>
    <w:p>
      <w:pPr>
        <w:spacing w:after="0"/>
      </w:pPr>
    </w:p>
    <w:p>
      <w:pPr>
        <w:pStyle w:val="Heading1"/>
      </w:pPr>
      <w:r>
        <w:t>Records to locate</w:t>
      </w:r>
    </w:p>
    <w:p>
      <w:pPr>
        <w:spacing w:after="120"/>
      </w:pPr>
      <w:r>
        <w:t>For each row, mark the current status and note an internal location reference or owner. Leave the location blank if it cannot be safely recorded here.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</w:trPr>
        <w:tc>
          <w:tcPr>
            <w:tcW w:type="dxa" w:w="3240"/>
            <w:shd w:fill="8F1D28"/>
            <w:tcBorders>
              <w:top w:val="single" w:sz="5" w:space="0" w:color="8F1D28"/>
              <w:left w:val="single" w:sz="5" w:space="0" w:color="8F1D28"/>
              <w:bottom w:val="single" w:sz="5" w:space="0" w:color="8F1D28"/>
              <w:right w:val="single" w:sz="5" w:space="0" w:color="8F1D28"/>
              <w:insideH w:val="single" w:sz="5" w:space="0" w:color="8F1D28"/>
              <w:insideV w:val="single" w:sz="5" w:space="0" w:color="8F1D28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Record area</w:t>
            </w:r>
          </w:p>
        </w:tc>
        <w:tc>
          <w:tcPr>
            <w:tcW w:type="dxa" w:w="2563"/>
            <w:shd w:fill="8F1D28"/>
            <w:tcBorders>
              <w:top w:val="single" w:sz="5" w:space="0" w:color="8F1D28"/>
              <w:left w:val="single" w:sz="5" w:space="0" w:color="8F1D28"/>
              <w:bottom w:val="single" w:sz="5" w:space="0" w:color="8F1D28"/>
              <w:right w:val="single" w:sz="5" w:space="0" w:color="8F1D28"/>
              <w:insideH w:val="single" w:sz="5" w:space="0" w:color="8F1D28"/>
              <w:insideV w:val="single" w:sz="5" w:space="0" w:color="8F1D28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Status</w:t>
            </w:r>
          </w:p>
        </w:tc>
        <w:tc>
          <w:tcPr>
            <w:tcW w:type="dxa" w:w="4450"/>
            <w:shd w:fill="8F1D28"/>
            <w:tcBorders>
              <w:top w:val="single" w:sz="5" w:space="0" w:color="8F1D28"/>
              <w:left w:val="single" w:sz="5" w:space="0" w:color="8F1D28"/>
              <w:bottom w:val="single" w:sz="5" w:space="0" w:color="8F1D28"/>
              <w:right w:val="single" w:sz="5" w:space="0" w:color="8F1D28"/>
              <w:insideH w:val="single" w:sz="5" w:space="0" w:color="8F1D28"/>
              <w:insideV w:val="single" w:sz="5" w:space="0" w:color="8F1D28"/>
            </w:tcBorders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Location reference or owner</w:t>
            </w:r>
          </w:p>
        </w:tc>
      </w:tr>
      <w:tr>
        <w:trPr>
          <w:trHeight w:val="648" w:hRule="atLeast"/>
          <w:cantSplit/>
        </w:trPr>
        <w:tc>
          <w:tcPr>
            <w:tcW w:type="dxa" w:w="324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rPr>
                <w:rFonts w:ascii="Arial" w:hAnsi="Arial"/>
                <w:b/>
                <w:i w:val="0"/>
                <w:color w:val="202226"/>
                <w:sz w:val="16"/>
              </w:rPr>
              <w:t>Security policies and procedures</w:t>
            </w:r>
          </w:p>
        </w:tc>
        <w:tc>
          <w:tcPr>
            <w:tcW w:type="dxa" w:w="2563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226"/>
                <w:sz w:val="15"/>
              </w:rPr>
              <w:t>[ ] Ready</w:t>
              <w:br/>
              <w:t>[ ] Locate</w:t>
              <w:br/>
              <w:t>[ ] N/A</w:t>
            </w:r>
          </w:p>
        </w:tc>
        <w:tc>
          <w:tcPr>
            <w:tcW w:type="dxa" w:w="445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648" w:hRule="atLeast"/>
          <w:cantSplit/>
        </w:trPr>
        <w:tc>
          <w:tcPr>
            <w:tcW w:type="dxa" w:w="324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rPr>
                <w:rFonts w:ascii="Arial" w:hAnsi="Arial"/>
                <w:b/>
                <w:i w:val="0"/>
                <w:color w:val="202226"/>
                <w:sz w:val="16"/>
              </w:rPr>
              <w:t>Asset inventory</w:t>
            </w:r>
          </w:p>
        </w:tc>
        <w:tc>
          <w:tcPr>
            <w:tcW w:type="dxa" w:w="2563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226"/>
                <w:sz w:val="15"/>
              </w:rPr>
              <w:t>[ ] Ready</w:t>
              <w:br/>
              <w:t>[ ] Locate</w:t>
              <w:br/>
              <w:t>[ ] N/A</w:t>
            </w:r>
          </w:p>
        </w:tc>
        <w:tc>
          <w:tcPr>
            <w:tcW w:type="dxa" w:w="445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648" w:hRule="atLeast"/>
          <w:cantSplit/>
        </w:trPr>
        <w:tc>
          <w:tcPr>
            <w:tcW w:type="dxa" w:w="324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rPr>
                <w:rFonts w:ascii="Arial" w:hAnsi="Arial"/>
                <w:b/>
                <w:i w:val="0"/>
                <w:color w:val="202226"/>
                <w:sz w:val="16"/>
              </w:rPr>
              <w:t>User and account inventory</w:t>
            </w:r>
          </w:p>
        </w:tc>
        <w:tc>
          <w:tcPr>
            <w:tcW w:type="dxa" w:w="2563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226"/>
                <w:sz w:val="15"/>
              </w:rPr>
              <w:t>[ ] Ready</w:t>
              <w:br/>
              <w:t>[ ] Locate</w:t>
              <w:br/>
              <w:t>[ ] N/A</w:t>
            </w:r>
          </w:p>
        </w:tc>
        <w:tc>
          <w:tcPr>
            <w:tcW w:type="dxa" w:w="445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648" w:hRule="atLeast"/>
          <w:cantSplit/>
        </w:trPr>
        <w:tc>
          <w:tcPr>
            <w:tcW w:type="dxa" w:w="324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rPr>
                <w:rFonts w:ascii="Arial" w:hAnsi="Arial"/>
                <w:b/>
                <w:i w:val="0"/>
                <w:color w:val="202226"/>
                <w:sz w:val="16"/>
              </w:rPr>
              <w:t>Access approvals and reviews</w:t>
            </w:r>
          </w:p>
        </w:tc>
        <w:tc>
          <w:tcPr>
            <w:tcW w:type="dxa" w:w="2563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226"/>
                <w:sz w:val="15"/>
              </w:rPr>
              <w:t>[ ] Ready</w:t>
              <w:br/>
              <w:t>[ ] Locate</w:t>
              <w:br/>
              <w:t>[ ] N/A</w:t>
            </w:r>
          </w:p>
        </w:tc>
        <w:tc>
          <w:tcPr>
            <w:tcW w:type="dxa" w:w="445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648" w:hRule="atLeast"/>
          <w:cantSplit/>
        </w:trPr>
        <w:tc>
          <w:tcPr>
            <w:tcW w:type="dxa" w:w="324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rPr>
                <w:rFonts w:ascii="Arial" w:hAnsi="Arial"/>
                <w:b/>
                <w:i w:val="0"/>
                <w:color w:val="202226"/>
                <w:sz w:val="16"/>
              </w:rPr>
              <w:t>Patching and maintenance records</w:t>
            </w:r>
          </w:p>
        </w:tc>
        <w:tc>
          <w:tcPr>
            <w:tcW w:type="dxa" w:w="2563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226"/>
                <w:sz w:val="15"/>
              </w:rPr>
              <w:t>[ ] Ready</w:t>
              <w:br/>
              <w:t>[ ] Locate</w:t>
              <w:br/>
              <w:t>[ ] N/A</w:t>
            </w:r>
          </w:p>
        </w:tc>
        <w:tc>
          <w:tcPr>
            <w:tcW w:type="dxa" w:w="445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648" w:hRule="atLeast"/>
          <w:cantSplit/>
        </w:trPr>
        <w:tc>
          <w:tcPr>
            <w:tcW w:type="dxa" w:w="324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rPr>
                <w:rFonts w:ascii="Arial" w:hAnsi="Arial"/>
                <w:b/>
                <w:i w:val="0"/>
                <w:color w:val="202226"/>
                <w:sz w:val="16"/>
              </w:rPr>
              <w:t>Backup and recovery procedures or tests</w:t>
            </w:r>
          </w:p>
        </w:tc>
        <w:tc>
          <w:tcPr>
            <w:tcW w:type="dxa" w:w="2563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226"/>
                <w:sz w:val="15"/>
              </w:rPr>
              <w:t>[ ] Ready</w:t>
              <w:br/>
              <w:t>[ ] Locate</w:t>
              <w:br/>
              <w:t>[ ] N/A</w:t>
            </w:r>
          </w:p>
        </w:tc>
        <w:tc>
          <w:tcPr>
            <w:tcW w:type="dxa" w:w="445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648" w:hRule="atLeast"/>
          <w:cantSplit/>
        </w:trPr>
        <w:tc>
          <w:tcPr>
            <w:tcW w:type="dxa" w:w="324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rPr>
                <w:rFonts w:ascii="Arial" w:hAnsi="Arial"/>
                <w:b/>
                <w:i w:val="0"/>
                <w:color w:val="202226"/>
                <w:sz w:val="16"/>
              </w:rPr>
              <w:t>Incident response plan and exercises</w:t>
            </w:r>
          </w:p>
        </w:tc>
        <w:tc>
          <w:tcPr>
            <w:tcW w:type="dxa" w:w="2563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226"/>
                <w:sz w:val="15"/>
              </w:rPr>
              <w:t>[ ] Ready</w:t>
              <w:br/>
              <w:t>[ ] Locate</w:t>
              <w:br/>
              <w:t>[ ] N/A</w:t>
            </w:r>
          </w:p>
        </w:tc>
        <w:tc>
          <w:tcPr>
            <w:tcW w:type="dxa" w:w="445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648" w:hRule="atLeast"/>
          <w:cantSplit/>
        </w:trPr>
        <w:tc>
          <w:tcPr>
            <w:tcW w:type="dxa" w:w="324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rPr>
                <w:rFonts w:ascii="Arial" w:hAnsi="Arial"/>
                <w:b/>
                <w:i w:val="0"/>
                <w:color w:val="202226"/>
                <w:sz w:val="16"/>
              </w:rPr>
              <w:t>Security training records</w:t>
            </w:r>
          </w:p>
        </w:tc>
        <w:tc>
          <w:tcPr>
            <w:tcW w:type="dxa" w:w="2563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226"/>
                <w:sz w:val="15"/>
              </w:rPr>
              <w:t>[ ] Ready</w:t>
              <w:br/>
              <w:t>[ ] Locate</w:t>
              <w:br/>
              <w:t>[ ] N/A</w:t>
            </w:r>
          </w:p>
        </w:tc>
        <w:tc>
          <w:tcPr>
            <w:tcW w:type="dxa" w:w="445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648" w:hRule="atLeast"/>
          <w:cantSplit/>
        </w:trPr>
        <w:tc>
          <w:tcPr>
            <w:tcW w:type="dxa" w:w="324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rPr>
                <w:rFonts w:ascii="Arial" w:hAnsi="Arial"/>
                <w:b/>
                <w:i w:val="0"/>
                <w:color w:val="202226"/>
                <w:sz w:val="16"/>
              </w:rPr>
              <w:t>Logging and monitoring records</w:t>
            </w:r>
          </w:p>
        </w:tc>
        <w:tc>
          <w:tcPr>
            <w:tcW w:type="dxa" w:w="2563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226"/>
                <w:sz w:val="15"/>
              </w:rPr>
              <w:t>[ ] Ready</w:t>
              <w:br/>
              <w:t>[ ] Locate</w:t>
              <w:br/>
              <w:t>[ ] N/A</w:t>
            </w:r>
          </w:p>
        </w:tc>
        <w:tc>
          <w:tcPr>
            <w:tcW w:type="dxa" w:w="445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648" w:hRule="atLeast"/>
          <w:cantSplit/>
        </w:trPr>
        <w:tc>
          <w:tcPr>
            <w:tcW w:type="dxa" w:w="324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rPr>
                <w:rFonts w:ascii="Arial" w:hAnsi="Arial"/>
                <w:b/>
                <w:i w:val="0"/>
                <w:color w:val="202226"/>
                <w:sz w:val="16"/>
              </w:rPr>
              <w:t>Change management records</w:t>
            </w:r>
          </w:p>
        </w:tc>
        <w:tc>
          <w:tcPr>
            <w:tcW w:type="dxa" w:w="2563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226"/>
                <w:sz w:val="15"/>
              </w:rPr>
              <w:t>[ ] Ready</w:t>
              <w:br/>
              <w:t>[ ] Locate</w:t>
              <w:br/>
              <w:t>[ ] N/A</w:t>
            </w:r>
          </w:p>
        </w:tc>
        <w:tc>
          <w:tcPr>
            <w:tcW w:type="dxa" w:w="445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648" w:hRule="atLeast"/>
          <w:cantSplit/>
        </w:trPr>
        <w:tc>
          <w:tcPr>
            <w:tcW w:type="dxa" w:w="324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rPr>
                <w:rFonts w:ascii="Arial" w:hAnsi="Arial"/>
                <w:b/>
                <w:i w:val="0"/>
                <w:color w:val="202226"/>
                <w:sz w:val="16"/>
              </w:rPr>
              <w:t>Relevant vendor or service-provider records</w:t>
            </w:r>
          </w:p>
        </w:tc>
        <w:tc>
          <w:tcPr>
            <w:tcW w:type="dxa" w:w="2563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226"/>
                <w:sz w:val="15"/>
              </w:rPr>
              <w:t>[ ] Ready</w:t>
              <w:br/>
              <w:t>[ ] Locate</w:t>
              <w:br/>
              <w:t>[ ] N/A</w:t>
            </w:r>
          </w:p>
        </w:tc>
        <w:tc>
          <w:tcPr>
            <w:tcW w:type="dxa" w:w="4450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spacing w:before="140"/>
      </w:pPr>
      <w:r>
        <w:rPr>
          <w:rFonts w:ascii="Arial" w:hAnsi="Arial"/>
          <w:b w:val="0"/>
          <w:i w:val="0"/>
          <w:color w:val="5F6670"/>
          <w:sz w:val="17"/>
        </w:rPr>
        <w:t>Share records only through a method authorized by your organization and agreed for the review.</w:t>
      </w:r>
    </w:p>
    <w:sectPr w:rsidR="00FC693F" w:rsidRPr="0006063C" w:rsidSect="00034616"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0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8F1D2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8F1D2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0222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Preparation Checklist</dc:title>
  <dc:subject>Cybersecurity compliance readiness working template</dc:subject>
  <dc:creator>Code Red Infrastructure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